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64" w:rsidRDefault="00FC0964" w:rsidP="00FC09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Інформація замовникам будівництва щодо сплати пайової участі у розвитку інженерно-транспортної та соціальної інфраструктури </w:t>
      </w:r>
      <w:proofErr w:type="spellStart"/>
      <w:r>
        <w:rPr>
          <w:rFonts w:ascii="Times New Roman" w:hAnsi="Times New Roman"/>
          <w:b/>
          <w:sz w:val="24"/>
          <w:szCs w:val="24"/>
        </w:rPr>
        <w:t>Вараської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міської об</w:t>
      </w:r>
      <w:r w:rsidRPr="006831A7"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</w:rPr>
        <w:t>єднаної територіальної громади у 2020 році</w:t>
      </w:r>
    </w:p>
    <w:p w:rsidR="00FC0964" w:rsidRDefault="00FC0964" w:rsidP="00FC0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964" w:rsidRPr="006831A7" w:rsidRDefault="00FC0964" w:rsidP="00FC09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831A7">
        <w:rPr>
          <w:rFonts w:ascii="Times New Roman" w:hAnsi="Times New Roman"/>
          <w:sz w:val="24"/>
          <w:szCs w:val="24"/>
        </w:rPr>
        <w:t xml:space="preserve">Управління містобудування, архітектури та капітального будівництва виконавчого комітету </w:t>
      </w:r>
      <w:proofErr w:type="spellStart"/>
      <w:r w:rsidRPr="006831A7">
        <w:rPr>
          <w:rFonts w:ascii="Times New Roman" w:hAnsi="Times New Roman"/>
          <w:sz w:val="24"/>
          <w:szCs w:val="24"/>
        </w:rPr>
        <w:t>Вараської</w:t>
      </w:r>
      <w:proofErr w:type="spellEnd"/>
      <w:r w:rsidRPr="006831A7">
        <w:rPr>
          <w:rFonts w:ascii="Times New Roman" w:hAnsi="Times New Roman"/>
          <w:sz w:val="24"/>
          <w:szCs w:val="24"/>
        </w:rPr>
        <w:t xml:space="preserve"> міської ради повідомляє, що з 01.01.2020 року набрав чинності </w:t>
      </w:r>
      <w:r w:rsidRPr="006831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пункт 13 Розділу І Закон України «Про внесення змін до деяких законодавчих актів України щодо стимулювання інвестиційної діяльності в Україні», згідно якого у Законі України «Про регулювання містобудівної діяльності» виключається стаття 40 та частина 5 статті 30. </w:t>
      </w:r>
    </w:p>
    <w:p w:rsidR="00FC0964" w:rsidRDefault="00FC0964" w:rsidP="00FC09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831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Розділом ІІ «Прикінцеві та перехідні положення» Закону України «Про внесення змін до деяких законодавчих актів України щодо стимулювання інвестиційної діяльності в Україні» встановлено </w:t>
      </w:r>
      <w:r w:rsidRPr="006831A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порядок</w:t>
      </w:r>
      <w:r w:rsidRPr="006831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сплати пайової участі на 2020 рік.</w:t>
      </w:r>
    </w:p>
    <w:p w:rsidR="00FC0964" w:rsidRPr="0038119D" w:rsidRDefault="00FC0964" w:rsidP="00FC09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8119D">
        <w:rPr>
          <w:rFonts w:ascii="Times New Roman" w:hAnsi="Times New Roman"/>
          <w:sz w:val="24"/>
          <w:szCs w:val="24"/>
          <w:shd w:val="clear" w:color="auto" w:fill="FFFFFF"/>
        </w:rPr>
        <w:t xml:space="preserve">Протягом </w:t>
      </w:r>
      <w:r w:rsidRPr="0038119D">
        <w:rPr>
          <w:rFonts w:ascii="Times New Roman" w:hAnsi="Times New Roman"/>
          <w:b/>
          <w:sz w:val="24"/>
          <w:szCs w:val="24"/>
          <w:shd w:val="clear" w:color="auto" w:fill="FFFFFF"/>
        </w:rPr>
        <w:t>2020 року</w:t>
      </w:r>
      <w:r w:rsidRPr="0038119D">
        <w:rPr>
          <w:rFonts w:ascii="Times New Roman" w:hAnsi="Times New Roman"/>
          <w:sz w:val="24"/>
          <w:szCs w:val="24"/>
          <w:shd w:val="clear" w:color="auto" w:fill="FFFFFF"/>
        </w:rPr>
        <w:t xml:space="preserve"> діє наступний </w:t>
      </w:r>
      <w:r w:rsidRPr="0038119D">
        <w:rPr>
          <w:rFonts w:ascii="Times New Roman" w:hAnsi="Times New Roman"/>
          <w:b/>
          <w:sz w:val="24"/>
          <w:szCs w:val="24"/>
          <w:shd w:val="clear" w:color="auto" w:fill="FFFFFF"/>
        </w:rPr>
        <w:t>порядок розрахунку і сплати пайової участі</w:t>
      </w:r>
      <w:r w:rsidRPr="0038119D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FC0964" w:rsidRPr="006831A7" w:rsidRDefault="00FC0964" w:rsidP="00FC09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1A7">
        <w:rPr>
          <w:rFonts w:ascii="Times New Roman" w:hAnsi="Times New Roman"/>
          <w:sz w:val="24"/>
          <w:szCs w:val="24"/>
          <w:shd w:val="clear" w:color="auto" w:fill="FFFFFF"/>
        </w:rPr>
        <w:t xml:space="preserve">Замовники будівництва на земельній ділянці </w:t>
      </w:r>
      <w:proofErr w:type="spellStart"/>
      <w:r w:rsidRPr="006831A7">
        <w:rPr>
          <w:rFonts w:ascii="Times New Roman" w:hAnsi="Times New Roman"/>
          <w:sz w:val="24"/>
          <w:szCs w:val="24"/>
          <w:shd w:val="clear" w:color="auto" w:fill="FFFFFF"/>
        </w:rPr>
        <w:t>Вараської</w:t>
      </w:r>
      <w:proofErr w:type="spellEnd"/>
      <w:r w:rsidRPr="006831A7">
        <w:rPr>
          <w:rFonts w:ascii="Times New Roman" w:hAnsi="Times New Roman"/>
          <w:sz w:val="24"/>
          <w:szCs w:val="24"/>
          <w:shd w:val="clear" w:color="auto" w:fill="FFFFFF"/>
        </w:rPr>
        <w:t xml:space="preserve"> міської об’єднаної територіальної громади, перераховують до місцевого бюджету кошти для створення і розвитку інфраструктури </w:t>
      </w:r>
      <w:proofErr w:type="spellStart"/>
      <w:r w:rsidRPr="006831A7">
        <w:rPr>
          <w:rFonts w:ascii="Times New Roman" w:hAnsi="Times New Roman"/>
          <w:sz w:val="24"/>
          <w:szCs w:val="24"/>
          <w:shd w:val="clear" w:color="auto" w:fill="FFFFFF"/>
        </w:rPr>
        <w:t>Вараської</w:t>
      </w:r>
      <w:proofErr w:type="spellEnd"/>
      <w:r w:rsidRPr="006831A7">
        <w:rPr>
          <w:rFonts w:ascii="Times New Roman" w:hAnsi="Times New Roman"/>
          <w:sz w:val="24"/>
          <w:szCs w:val="24"/>
          <w:shd w:val="clear" w:color="auto" w:fill="FFFFFF"/>
        </w:rPr>
        <w:t xml:space="preserve"> міської об’єднаної територіальної громади.</w:t>
      </w:r>
    </w:p>
    <w:p w:rsidR="00FC0964" w:rsidRPr="006831A7" w:rsidRDefault="00FC0964" w:rsidP="00FC09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1A7">
        <w:rPr>
          <w:rFonts w:ascii="Times New Roman" w:hAnsi="Times New Roman"/>
          <w:sz w:val="24"/>
          <w:szCs w:val="24"/>
          <w:shd w:val="clear" w:color="auto" w:fill="FFFFFF"/>
        </w:rPr>
        <w:t>Розмір пайової участі становить:</w:t>
      </w:r>
    </w:p>
    <w:p w:rsidR="00FC0964" w:rsidRPr="006831A7" w:rsidRDefault="00FC0964" w:rsidP="00FC096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1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нежитлових будівель та споруд - 4 відсотки загальної кошторисної вартості будівництва об’єкта;</w:t>
      </w:r>
    </w:p>
    <w:p w:rsidR="00FC0964" w:rsidRPr="006831A7" w:rsidRDefault="00FC0964" w:rsidP="00FC096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1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житлових будинків - 2 відсотки вартості будівництва об’єкта, що розраховується відповідно до основних показників опосередкованої вартості спорудження житла за регіонами України, затверджених центральним органом виконавчої влади, що забезпечує формування та реалізує державну житлову політику і політику у сфері будівництва, архітектури, містобудування.</w:t>
      </w:r>
    </w:p>
    <w:p w:rsidR="00FC0964" w:rsidRDefault="00FC0964" w:rsidP="00FC09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C0964" w:rsidRPr="006831A7" w:rsidRDefault="00FC0964" w:rsidP="00FC09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1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Порядок розрахунку пайової участі щодо об’єкта будівництва є таким:</w:t>
      </w:r>
    </w:p>
    <w:p w:rsidR="00FC0964" w:rsidRPr="006831A7" w:rsidRDefault="00FC0964" w:rsidP="00FC09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6831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замовник будівництва зобов’язаний </w:t>
      </w:r>
      <w:r w:rsidRPr="006831A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протягом 10 робочих днів після початку будівництва об’єкта</w:t>
      </w:r>
      <w:r w:rsidRPr="006831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звернутися до управління містобудування, архітектури та капітального будівництва виконавчого комітету </w:t>
      </w:r>
      <w:proofErr w:type="spellStart"/>
      <w:r w:rsidRPr="006831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Вараської</w:t>
      </w:r>
      <w:proofErr w:type="spellEnd"/>
      <w:r w:rsidRPr="006831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міської ради (далі – Управління) із заявою про визначення розміру пайової участі щодо об’єкта будівництва, до якої додаються документи, які підтверджують вартість будівництва об’єкта, а саме: </w:t>
      </w:r>
    </w:p>
    <w:p w:rsidR="00FC0964" w:rsidRPr="006831A7" w:rsidRDefault="00FC0964" w:rsidP="00FC096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1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зведений кошторисний розрахунок загальної кошторисної вартості об’єкта (для нежитлових приміщень), засвідчений Замовником будівництва;</w:t>
      </w:r>
    </w:p>
    <w:p w:rsidR="00FC0964" w:rsidRPr="006831A7" w:rsidRDefault="00FC0964" w:rsidP="00FC096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1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техніко-економічні показники об’єкта будівництва невиробничого призначення (для житлових будинків), засвідчені Замовником будівництва.</w:t>
      </w:r>
    </w:p>
    <w:p w:rsidR="00FC0964" w:rsidRPr="006831A7" w:rsidRDefault="00FC0964" w:rsidP="00FC09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1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Управління </w:t>
      </w:r>
      <w:r w:rsidRPr="006831A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протягом 15 робочих днів</w:t>
      </w:r>
      <w:r w:rsidRPr="006831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дня отримання зазначених документів надає замовнику будівництва </w:t>
      </w:r>
      <w:r w:rsidRPr="006831A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розрахунок пайової участі</w:t>
      </w:r>
      <w:r w:rsidRPr="006831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щодо об’єкта будівництва.</w:t>
      </w:r>
    </w:p>
    <w:p w:rsidR="00FC0964" w:rsidRPr="006831A7" w:rsidRDefault="00FC0964" w:rsidP="00FC09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1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Пайова участь не сплачується у разі будівництва:</w:t>
      </w:r>
    </w:p>
    <w:p w:rsidR="00FC0964" w:rsidRPr="006831A7" w:rsidRDefault="00FC0964" w:rsidP="00FC096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1A7">
        <w:rPr>
          <w:rFonts w:ascii="Times New Roman" w:hAnsi="Times New Roman"/>
          <w:color w:val="000000"/>
          <w:sz w:val="24"/>
          <w:szCs w:val="24"/>
        </w:rPr>
        <w:t>об’єктів будь-якого призначення на замовлення державних органів або органів місцевого самоврядування за рахунок коштів державного або місцевих бюджетів;</w:t>
      </w:r>
      <w:bookmarkStart w:id="0" w:name="n259"/>
      <w:bookmarkEnd w:id="0"/>
    </w:p>
    <w:p w:rsidR="00FC0964" w:rsidRPr="006831A7" w:rsidRDefault="00FC0964" w:rsidP="00FC096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1A7">
        <w:rPr>
          <w:rFonts w:ascii="Times New Roman" w:hAnsi="Times New Roman"/>
          <w:color w:val="000000"/>
          <w:sz w:val="24"/>
          <w:szCs w:val="24"/>
        </w:rPr>
        <w:t>будівель навчальних закладів, закладів культури, фізичної культури і спорту, медичного і оздоровчого призначення;</w:t>
      </w:r>
      <w:bookmarkStart w:id="1" w:name="n260"/>
      <w:bookmarkEnd w:id="1"/>
    </w:p>
    <w:p w:rsidR="00FC0964" w:rsidRPr="006831A7" w:rsidRDefault="00FC0964" w:rsidP="00FC096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1A7">
        <w:rPr>
          <w:rFonts w:ascii="Times New Roman" w:hAnsi="Times New Roman"/>
          <w:color w:val="000000"/>
          <w:sz w:val="24"/>
          <w:szCs w:val="24"/>
        </w:rPr>
        <w:t>будинків житлового фонду соціального призначення та доступного житла;</w:t>
      </w:r>
      <w:bookmarkStart w:id="2" w:name="n261"/>
      <w:bookmarkEnd w:id="2"/>
    </w:p>
    <w:p w:rsidR="00FC0964" w:rsidRPr="006831A7" w:rsidRDefault="00FC0964" w:rsidP="00FC096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1A7">
        <w:rPr>
          <w:rFonts w:ascii="Times New Roman" w:hAnsi="Times New Roman"/>
          <w:color w:val="000000"/>
          <w:sz w:val="24"/>
          <w:szCs w:val="24"/>
        </w:rPr>
        <w:t>індивідуальних (садибних) житлових будинків, садових, дачних будинків загальною площею до 300 квадратних метрів, господарських споруд, розташованих на відповідних земельних ділянках;</w:t>
      </w:r>
      <w:bookmarkStart w:id="3" w:name="n262"/>
      <w:bookmarkEnd w:id="3"/>
    </w:p>
    <w:p w:rsidR="00FC0964" w:rsidRPr="006831A7" w:rsidRDefault="00FC0964" w:rsidP="00FC096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1A7">
        <w:rPr>
          <w:rFonts w:ascii="Times New Roman" w:hAnsi="Times New Roman"/>
          <w:color w:val="000000"/>
          <w:sz w:val="24"/>
          <w:szCs w:val="24"/>
        </w:rPr>
        <w:t>об’єктів комплексної забудови територій, що здійснюється за результатами інвестиційних конкурсів або аукціонів;</w:t>
      </w:r>
      <w:bookmarkStart w:id="4" w:name="n263"/>
      <w:bookmarkEnd w:id="4"/>
    </w:p>
    <w:p w:rsidR="00FC0964" w:rsidRPr="006831A7" w:rsidRDefault="00FC0964" w:rsidP="00FC096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1A7">
        <w:rPr>
          <w:rFonts w:ascii="Times New Roman" w:hAnsi="Times New Roman"/>
          <w:color w:val="000000"/>
          <w:sz w:val="24"/>
          <w:szCs w:val="24"/>
        </w:rPr>
        <w:t>об’єктів будівництва за умови спорудження на цій земельній ділянці об’єктів соціальної інфраструктури;</w:t>
      </w:r>
      <w:bookmarkStart w:id="5" w:name="n264"/>
      <w:bookmarkEnd w:id="5"/>
    </w:p>
    <w:p w:rsidR="00FC0964" w:rsidRPr="006831A7" w:rsidRDefault="00FC0964" w:rsidP="00FC096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1A7">
        <w:rPr>
          <w:rFonts w:ascii="Times New Roman" w:hAnsi="Times New Roman"/>
          <w:color w:val="000000"/>
          <w:sz w:val="24"/>
          <w:szCs w:val="24"/>
        </w:rPr>
        <w:t>об’єктів, що споруджуються замість тих, що пошкоджені або зруйновані внаслідок надзвичайних ситуацій техногенного або природного характеру;</w:t>
      </w:r>
      <w:bookmarkStart w:id="6" w:name="n265"/>
      <w:bookmarkEnd w:id="6"/>
    </w:p>
    <w:p w:rsidR="00FC0964" w:rsidRPr="006831A7" w:rsidRDefault="00FC0964" w:rsidP="00FC096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1A7">
        <w:rPr>
          <w:rFonts w:ascii="Times New Roman" w:hAnsi="Times New Roman"/>
          <w:color w:val="000000"/>
          <w:sz w:val="24"/>
          <w:szCs w:val="24"/>
        </w:rPr>
        <w:lastRenderedPageBreak/>
        <w:t>об’єктів, передбачених </w:t>
      </w:r>
      <w:hyperlink r:id="rId5" w:tgtFrame="_blank" w:history="1">
        <w:r w:rsidRPr="006831A7">
          <w:rPr>
            <w:rStyle w:val="a4"/>
            <w:rFonts w:ascii="Times New Roman" w:hAnsi="Times New Roman"/>
            <w:color w:val="000099"/>
            <w:sz w:val="24"/>
            <w:szCs w:val="24"/>
          </w:rPr>
          <w:t>Державною цільовою програмою підготовки та проведення в Україні фінальної частини чемпіонату Європи 2012 року</w:t>
        </w:r>
      </w:hyperlink>
      <w:hyperlink r:id="rId6" w:tgtFrame="_blank" w:history="1">
        <w:r w:rsidRPr="006831A7">
          <w:rPr>
            <w:rStyle w:val="a4"/>
            <w:rFonts w:ascii="Times New Roman" w:hAnsi="Times New Roman"/>
            <w:color w:val="000099"/>
            <w:sz w:val="24"/>
            <w:szCs w:val="24"/>
          </w:rPr>
          <w:t> з футболу</w:t>
        </w:r>
      </w:hyperlink>
      <w:r w:rsidRPr="006831A7">
        <w:rPr>
          <w:rFonts w:ascii="Times New Roman" w:hAnsi="Times New Roman"/>
          <w:color w:val="000000"/>
          <w:sz w:val="24"/>
          <w:szCs w:val="24"/>
        </w:rPr>
        <w:t>, за рахунок коштів інвесторів;</w:t>
      </w:r>
      <w:bookmarkStart w:id="7" w:name="n266"/>
      <w:bookmarkEnd w:id="7"/>
    </w:p>
    <w:p w:rsidR="00FC0964" w:rsidRPr="006831A7" w:rsidRDefault="00FC0964" w:rsidP="00FC096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1A7">
        <w:rPr>
          <w:rFonts w:ascii="Times New Roman" w:hAnsi="Times New Roman"/>
          <w:color w:val="000000"/>
          <w:sz w:val="24"/>
          <w:szCs w:val="24"/>
        </w:rPr>
        <w:t>об’єктів інженерної, транспортної інфраструктури, об’єктів енергетики, зв’язку та дорожнього господарства (крім об’єктів дорожнього сервісу);</w:t>
      </w:r>
      <w:bookmarkStart w:id="8" w:name="n267"/>
      <w:bookmarkEnd w:id="8"/>
    </w:p>
    <w:p w:rsidR="00FC0964" w:rsidRPr="006831A7" w:rsidRDefault="00FC0964" w:rsidP="00FC096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1A7">
        <w:rPr>
          <w:rFonts w:ascii="Times New Roman" w:hAnsi="Times New Roman"/>
          <w:color w:val="000000"/>
          <w:sz w:val="24"/>
          <w:szCs w:val="24"/>
        </w:rPr>
        <w:t>об’єктів у межах індустріальних парків на замовлення ініціаторів створення індустріальних парків, керуючих компаній індустріальних парків, учасників індустріальних парків;</w:t>
      </w:r>
      <w:bookmarkStart w:id="9" w:name="n268"/>
      <w:bookmarkEnd w:id="9"/>
    </w:p>
    <w:p w:rsidR="00FC0964" w:rsidRPr="006831A7" w:rsidRDefault="00FC0964" w:rsidP="00FC096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1A7">
        <w:rPr>
          <w:rFonts w:ascii="Times New Roman" w:hAnsi="Times New Roman"/>
          <w:color w:val="000000"/>
          <w:sz w:val="24"/>
          <w:szCs w:val="24"/>
        </w:rPr>
        <w:t>об’єктів, які згідно з </w:t>
      </w:r>
      <w:hyperlink r:id="rId7" w:tgtFrame="_blank" w:history="1">
        <w:r w:rsidRPr="006831A7">
          <w:rPr>
            <w:rStyle w:val="a4"/>
            <w:rFonts w:ascii="Times New Roman" w:hAnsi="Times New Roman"/>
            <w:color w:val="000099"/>
            <w:sz w:val="24"/>
            <w:szCs w:val="24"/>
          </w:rPr>
          <w:t>державним класифікатором будівель та споруд</w:t>
        </w:r>
      </w:hyperlink>
      <w:r w:rsidRPr="006831A7">
        <w:rPr>
          <w:rFonts w:ascii="Times New Roman" w:hAnsi="Times New Roman"/>
          <w:color w:val="000000"/>
          <w:sz w:val="24"/>
          <w:szCs w:val="24"/>
        </w:rPr>
        <w:t> належать до будівель сільськогосподарського призначення, лісництва та рибного господарства;</w:t>
      </w:r>
      <w:bookmarkStart w:id="10" w:name="n269"/>
      <w:bookmarkEnd w:id="10"/>
    </w:p>
    <w:p w:rsidR="00FC0964" w:rsidRPr="006831A7" w:rsidRDefault="00FC0964" w:rsidP="00FC096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1A7">
        <w:rPr>
          <w:rFonts w:ascii="Times New Roman" w:hAnsi="Times New Roman"/>
          <w:color w:val="000000"/>
          <w:sz w:val="24"/>
          <w:szCs w:val="24"/>
        </w:rPr>
        <w:t>об’єктів, які згідно з </w:t>
      </w:r>
      <w:hyperlink r:id="rId8" w:tgtFrame="_blank" w:history="1">
        <w:r w:rsidRPr="006831A7">
          <w:rPr>
            <w:rStyle w:val="a4"/>
            <w:rFonts w:ascii="Times New Roman" w:hAnsi="Times New Roman"/>
            <w:color w:val="000099"/>
            <w:sz w:val="24"/>
            <w:szCs w:val="24"/>
          </w:rPr>
          <w:t>державним класифікатором будівель та споруд</w:t>
        </w:r>
      </w:hyperlink>
      <w:r w:rsidRPr="006831A7">
        <w:rPr>
          <w:rFonts w:ascii="Times New Roman" w:hAnsi="Times New Roman"/>
          <w:color w:val="000000"/>
          <w:sz w:val="24"/>
          <w:szCs w:val="24"/>
        </w:rPr>
        <w:t> належать до будівель промислових;</w:t>
      </w:r>
      <w:bookmarkStart w:id="11" w:name="n270"/>
      <w:bookmarkEnd w:id="11"/>
    </w:p>
    <w:p w:rsidR="00FC0964" w:rsidRPr="006831A7" w:rsidRDefault="00FC0964" w:rsidP="00FC096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1A7">
        <w:rPr>
          <w:rFonts w:ascii="Times New Roman" w:hAnsi="Times New Roman"/>
          <w:color w:val="000000"/>
          <w:sz w:val="24"/>
          <w:szCs w:val="24"/>
        </w:rPr>
        <w:t>об’єктів, які згідно з </w:t>
      </w:r>
      <w:hyperlink r:id="rId9" w:tgtFrame="_blank" w:history="1">
        <w:r w:rsidRPr="006831A7">
          <w:rPr>
            <w:rStyle w:val="a4"/>
            <w:rFonts w:ascii="Times New Roman" w:hAnsi="Times New Roman"/>
            <w:color w:val="000099"/>
            <w:sz w:val="24"/>
            <w:szCs w:val="24"/>
          </w:rPr>
          <w:t>державним класифікатором будівель та споруд</w:t>
        </w:r>
      </w:hyperlink>
      <w:r w:rsidRPr="006831A7">
        <w:rPr>
          <w:rFonts w:ascii="Times New Roman" w:hAnsi="Times New Roman"/>
          <w:color w:val="000000"/>
          <w:sz w:val="24"/>
          <w:szCs w:val="24"/>
        </w:rPr>
        <w:t xml:space="preserve"> належать до </w:t>
      </w:r>
      <w:proofErr w:type="spellStart"/>
      <w:r w:rsidRPr="006831A7">
        <w:rPr>
          <w:rFonts w:ascii="Times New Roman" w:hAnsi="Times New Roman"/>
          <w:color w:val="000000"/>
          <w:sz w:val="24"/>
          <w:szCs w:val="24"/>
        </w:rPr>
        <w:t>силосів</w:t>
      </w:r>
      <w:proofErr w:type="spellEnd"/>
      <w:r w:rsidRPr="006831A7">
        <w:rPr>
          <w:rFonts w:ascii="Times New Roman" w:hAnsi="Times New Roman"/>
          <w:color w:val="000000"/>
          <w:sz w:val="24"/>
          <w:szCs w:val="24"/>
        </w:rPr>
        <w:t xml:space="preserve"> для зерна та складських майданчиків (для зберігання сільськогосподарської продукції).</w:t>
      </w:r>
    </w:p>
    <w:p w:rsidR="00FC0964" w:rsidRDefault="00FC0964" w:rsidP="00FC09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C0964" w:rsidRDefault="00FC0964" w:rsidP="00FC09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1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Пайова участь сплачується виключно грошовими коштами до прийняття відповідного об’єкта будівництва в експлуатацію.</w:t>
      </w:r>
    </w:p>
    <w:p w:rsidR="00FC0964" w:rsidRDefault="00FC0964" w:rsidP="00FC09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C0964" w:rsidRPr="006831A7" w:rsidRDefault="00FC0964" w:rsidP="00FC09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1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Кошти, отримані як пайова участь, можуть використовуватися виключно для створення і розвитку інженерно-транспортної та соціальної інфраструктури </w:t>
      </w:r>
      <w:proofErr w:type="spellStart"/>
      <w:r w:rsidRPr="006831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Вараської</w:t>
      </w:r>
      <w:proofErr w:type="spellEnd"/>
      <w:r w:rsidRPr="006831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міської </w:t>
      </w:r>
      <w:r w:rsidRPr="006831A7">
        <w:rPr>
          <w:rFonts w:ascii="Times New Roman" w:hAnsi="Times New Roman"/>
          <w:sz w:val="24"/>
          <w:szCs w:val="24"/>
          <w:shd w:val="clear" w:color="auto" w:fill="FFFFFF"/>
        </w:rPr>
        <w:t>об’єднаної</w:t>
      </w:r>
      <w:r w:rsidRPr="006831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територіальної громади.</w:t>
      </w:r>
    </w:p>
    <w:p w:rsidR="00FC0964" w:rsidRDefault="00FC0964" w:rsidP="00FC09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C0964" w:rsidRPr="006831A7" w:rsidRDefault="00FC0964" w:rsidP="00FC09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31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Інформація щодо сплати пайової участі зазначається у декларації про готовність об’єкта до експлуатації або в акті готовності об’єкта до експлуатації.</w:t>
      </w:r>
    </w:p>
    <w:p w:rsidR="00FC0964" w:rsidRDefault="00FC0964" w:rsidP="00FC09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C0964" w:rsidRDefault="00FC0964" w:rsidP="00FC09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831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Договори про сплату пайової участі, укладені </w:t>
      </w:r>
      <w:r w:rsidRPr="006831A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до 1 січня 2020 року</w:t>
      </w:r>
      <w:r w:rsidRPr="006831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є дійсними та продовжують свою дію до моменту їх повного виконання.</w:t>
      </w:r>
    </w:p>
    <w:p w:rsidR="00FC0964" w:rsidRDefault="00FC0964" w:rsidP="00FC096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FC0964" w:rsidRDefault="00FC0964" w:rsidP="00FC096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За детальною інформацією звертатися до управління містобудування, архітектури та капітального будівництва виконавчого комітету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Вараської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міської ради,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тел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(03636) 2-43-32.</w:t>
      </w:r>
    </w:p>
    <w:p w:rsidR="00FC0964" w:rsidRDefault="00FC0964" w:rsidP="00FC096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C0964" w:rsidRDefault="00FC0964" w:rsidP="00FC096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C0964" w:rsidRPr="006831A7" w:rsidRDefault="00FC0964" w:rsidP="00FC09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C0964" w:rsidRPr="006831A7" w:rsidRDefault="00FC0964" w:rsidP="00FC09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5F56" w:rsidRDefault="00BB5F56">
      <w:bookmarkStart w:id="12" w:name="_GoBack"/>
      <w:bookmarkEnd w:id="12"/>
    </w:p>
    <w:sectPr w:rsidR="00BB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B1B50"/>
    <w:multiLevelType w:val="hybridMultilevel"/>
    <w:tmpl w:val="38B4CCBE"/>
    <w:lvl w:ilvl="0" w:tplc="E8744C5E">
      <w:start w:val="363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95041"/>
    <w:multiLevelType w:val="hybridMultilevel"/>
    <w:tmpl w:val="2C18F94A"/>
    <w:lvl w:ilvl="0" w:tplc="51F46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64"/>
    <w:rsid w:val="00BB5F56"/>
    <w:rsid w:val="00FC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AF1B-4CF2-4551-ABBF-C979CF1C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964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9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0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a507565-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va507565-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57-2010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357-2010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va507565-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2020-02-05T08:37:00Z</dcterms:created>
  <dcterms:modified xsi:type="dcterms:W3CDTF">2020-02-05T08:38:00Z</dcterms:modified>
</cp:coreProperties>
</file>